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color w:val="auto"/>
          <w:highlight w:val="none"/>
        </w:rPr>
      </w:pPr>
      <w:r>
        <w:rPr>
          <w:rFonts w:hint="eastAsia" w:ascii="黑体" w:hAnsi="黑体" w:eastAsia="黑体" w:cs="黑体"/>
          <w:color w:val="auto"/>
          <w:sz w:val="48"/>
          <w:szCs w:val="48"/>
          <w:highlight w:val="none"/>
          <w:lang w:eastAsia="zh-CN"/>
        </w:rPr>
        <w:t>清华大学深圳国际研究生院清华大学深圳国际校区（一期）窗帘1标段采购项目</w:t>
      </w:r>
      <w:r>
        <w:rPr>
          <w:rFonts w:hint="eastAsia" w:ascii="黑体" w:hAnsi="黑体" w:eastAsia="黑体" w:cs="黑体"/>
          <w:color w:val="auto"/>
          <w:sz w:val="48"/>
          <w:szCs w:val="48"/>
          <w:highlight w:val="none"/>
        </w:rPr>
        <w:t>中标（成交）结果公示</w:t>
      </w:r>
    </w:p>
    <w:p>
      <w:pPr>
        <w:rPr>
          <w:color w:val="auto"/>
          <w:highlight w:val="none"/>
        </w:rPr>
      </w:pPr>
    </w:p>
    <w:p>
      <w:pPr>
        <w:spacing w:line="360" w:lineRule="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一、项目编号：SZDL2022001388(CLF0122SZ08ZC62)</w:t>
      </w:r>
    </w:p>
    <w:p>
      <w:pPr>
        <w:spacing w:line="360" w:lineRule="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二、项目名称：</w:t>
      </w:r>
      <w:r>
        <w:rPr>
          <w:rFonts w:hint="eastAsia" w:ascii="宋体" w:hAnsi="宋体" w:eastAsia="宋体" w:cs="宋体"/>
          <w:color w:val="auto"/>
          <w:sz w:val="28"/>
          <w:szCs w:val="28"/>
          <w:highlight w:val="none"/>
          <w:lang w:eastAsia="zh-CN"/>
        </w:rPr>
        <w:t>清华大学深圳国际校区（一期）窗帘1标段采购项目</w:t>
      </w:r>
    </w:p>
    <w:p>
      <w:pPr>
        <w:spacing w:line="360" w:lineRule="auto"/>
        <w:rPr>
          <w:rFonts w:hint="eastAsia" w:ascii="宋体" w:hAnsi="宋体" w:eastAsia="宋体" w:cs="宋体"/>
          <w:sz w:val="28"/>
          <w:szCs w:val="28"/>
        </w:rPr>
      </w:pPr>
      <w:r>
        <w:rPr>
          <w:rFonts w:hint="eastAsia" w:ascii="宋体" w:hAnsi="宋体" w:eastAsia="宋体" w:cs="宋体"/>
          <w:sz w:val="28"/>
          <w:szCs w:val="28"/>
        </w:rPr>
        <w:t>三、投标供应商名称及报价：</w:t>
      </w:r>
    </w:p>
    <w:tbl>
      <w:tblPr>
        <w:tblStyle w:val="6"/>
        <w:tblW w:w="4999" w:type="pct"/>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5654"/>
        <w:gridCol w:w="3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10" w:hRule="atLeast"/>
          <w:tblCellSpacing w:w="0" w:type="dxa"/>
        </w:trPr>
        <w:tc>
          <w:tcPr>
            <w:tcW w:w="3006" w:type="pct"/>
            <w:shd w:val="clear" w:color="auto" w:fill="auto"/>
            <w:vAlign w:val="center"/>
          </w:tcPr>
          <w:p>
            <w:pPr>
              <w:widowControl/>
              <w:spacing w:line="360" w:lineRule="auto"/>
              <w:jc w:val="center"/>
              <w:rPr>
                <w:rFonts w:hint="eastAsia" w:ascii="宋体" w:hAnsi="宋体" w:eastAsia="宋体" w:cs="宋体"/>
                <w:sz w:val="28"/>
                <w:szCs w:val="28"/>
              </w:rPr>
            </w:pPr>
            <w:r>
              <w:rPr>
                <w:rFonts w:hint="eastAsia" w:ascii="宋体" w:hAnsi="宋体" w:eastAsia="宋体" w:cs="宋体"/>
                <w:kern w:val="0"/>
                <w:sz w:val="28"/>
                <w:szCs w:val="28"/>
                <w:lang w:bidi="ar"/>
              </w:rPr>
              <w:t>投标供应商</w:t>
            </w:r>
          </w:p>
        </w:tc>
        <w:tc>
          <w:tcPr>
            <w:tcW w:w="1993" w:type="pct"/>
            <w:shd w:val="clear" w:color="auto" w:fill="auto"/>
            <w:vAlign w:val="center"/>
          </w:tcPr>
          <w:p>
            <w:pPr>
              <w:widowControl/>
              <w:spacing w:line="360" w:lineRule="auto"/>
              <w:jc w:val="center"/>
              <w:rPr>
                <w:rFonts w:hint="eastAsia" w:ascii="宋体" w:hAnsi="宋体" w:eastAsia="宋体" w:cs="宋体"/>
                <w:sz w:val="28"/>
                <w:szCs w:val="28"/>
              </w:rPr>
            </w:pPr>
            <w:r>
              <w:rPr>
                <w:rFonts w:hint="eastAsia" w:ascii="宋体" w:hAnsi="宋体" w:eastAsia="宋体" w:cs="宋体"/>
                <w:kern w:val="0"/>
                <w:sz w:val="28"/>
                <w:szCs w:val="28"/>
                <w:lang w:bidi="ar"/>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00" w:hRule="atLeast"/>
          <w:tblCellSpacing w:w="0" w:type="dxa"/>
        </w:trPr>
        <w:tc>
          <w:tcPr>
            <w:tcW w:w="3006" w:type="pct"/>
            <w:shd w:val="clear" w:color="auto" w:fill="auto"/>
            <w:vAlign w:val="center"/>
          </w:tcPr>
          <w:p>
            <w:pPr>
              <w:widowControl/>
              <w:spacing w:line="360" w:lineRule="auto"/>
              <w:jc w:val="center"/>
              <w:rPr>
                <w:rFonts w:hint="eastAsia" w:ascii="宋体" w:hAnsi="宋体" w:eastAsia="宋体" w:cs="宋体"/>
                <w:kern w:val="0"/>
                <w:sz w:val="28"/>
                <w:szCs w:val="28"/>
                <w:lang w:bidi="ar"/>
              </w:rPr>
            </w:pPr>
            <w:r>
              <w:rPr>
                <w:rFonts w:hint="eastAsia" w:ascii="宋体" w:hAnsi="宋体" w:eastAsia="宋体" w:cs="宋体"/>
                <w:kern w:val="0"/>
                <w:sz w:val="28"/>
                <w:szCs w:val="28"/>
                <w:lang w:val="en-US" w:eastAsia="zh-CN" w:bidi="ar"/>
              </w:rPr>
              <w:t>深圳市龙轩商贸有限公司</w:t>
            </w:r>
          </w:p>
        </w:tc>
        <w:tc>
          <w:tcPr>
            <w:tcW w:w="1993" w:type="pct"/>
            <w:shd w:val="clear" w:color="auto" w:fill="auto"/>
            <w:vAlign w:val="center"/>
          </w:tcPr>
          <w:p>
            <w:pPr>
              <w:widowControl/>
              <w:spacing w:line="360" w:lineRule="auto"/>
              <w:jc w:val="center"/>
              <w:rPr>
                <w:rFonts w:hint="eastAsia" w:ascii="宋体" w:hAnsi="宋体" w:eastAsia="宋体" w:cs="宋体"/>
                <w:kern w:val="0"/>
                <w:sz w:val="28"/>
                <w:szCs w:val="28"/>
                <w:lang w:bidi="ar"/>
              </w:rPr>
            </w:pPr>
            <w:r>
              <w:rPr>
                <w:rFonts w:hint="eastAsia" w:ascii="宋体" w:hAnsi="宋体" w:eastAsia="宋体" w:cs="宋体"/>
                <w:kern w:val="0"/>
                <w:sz w:val="28"/>
                <w:szCs w:val="28"/>
                <w:lang w:val="en-US" w:eastAsia="zh-CN" w:bidi="ar"/>
              </w:rPr>
              <w:t>1899713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00" w:hRule="atLeast"/>
          <w:tblCellSpacing w:w="0" w:type="dxa"/>
        </w:trPr>
        <w:tc>
          <w:tcPr>
            <w:tcW w:w="3006" w:type="pct"/>
            <w:shd w:val="clear" w:color="auto" w:fill="auto"/>
            <w:vAlign w:val="center"/>
          </w:tcPr>
          <w:p>
            <w:pPr>
              <w:widowControl/>
              <w:spacing w:line="360" w:lineRule="auto"/>
              <w:jc w:val="center"/>
              <w:rPr>
                <w:rFonts w:hint="eastAsia" w:ascii="宋体" w:hAnsi="宋体" w:eastAsia="宋体" w:cs="宋体"/>
                <w:kern w:val="0"/>
                <w:sz w:val="28"/>
                <w:szCs w:val="28"/>
                <w:lang w:bidi="ar"/>
              </w:rPr>
            </w:pPr>
            <w:r>
              <w:rPr>
                <w:rFonts w:hint="eastAsia" w:ascii="宋体" w:hAnsi="宋体" w:eastAsia="宋体" w:cs="宋体"/>
                <w:kern w:val="0"/>
                <w:sz w:val="28"/>
                <w:szCs w:val="28"/>
                <w:lang w:val="en-US" w:eastAsia="zh-CN" w:bidi="ar"/>
              </w:rPr>
              <w:t>深圳市托斯卡纳智能科技有限公司</w:t>
            </w:r>
          </w:p>
        </w:tc>
        <w:tc>
          <w:tcPr>
            <w:tcW w:w="1993" w:type="pct"/>
            <w:shd w:val="clear" w:color="auto" w:fill="auto"/>
            <w:vAlign w:val="center"/>
          </w:tcPr>
          <w:p>
            <w:pPr>
              <w:widowControl/>
              <w:spacing w:line="360" w:lineRule="auto"/>
              <w:jc w:val="center"/>
              <w:rPr>
                <w:rFonts w:hint="eastAsia" w:ascii="宋体" w:hAnsi="宋体" w:eastAsia="宋体" w:cs="宋体"/>
                <w:kern w:val="0"/>
                <w:sz w:val="28"/>
                <w:szCs w:val="28"/>
                <w:lang w:bidi="ar"/>
              </w:rPr>
            </w:pPr>
            <w:r>
              <w:rPr>
                <w:rFonts w:hint="eastAsia" w:ascii="宋体" w:hAnsi="宋体" w:eastAsia="宋体" w:cs="宋体"/>
                <w:kern w:val="0"/>
                <w:sz w:val="28"/>
                <w:szCs w:val="28"/>
                <w:lang w:val="en-US" w:eastAsia="zh-CN" w:bidi="ar"/>
              </w:rPr>
              <w:t>2380600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10" w:hRule="atLeast"/>
          <w:tblCellSpacing w:w="0" w:type="dxa"/>
        </w:trPr>
        <w:tc>
          <w:tcPr>
            <w:tcW w:w="3006" w:type="pct"/>
            <w:shd w:val="clear" w:color="auto" w:fill="auto"/>
            <w:vAlign w:val="center"/>
          </w:tcPr>
          <w:p>
            <w:pPr>
              <w:widowControl/>
              <w:spacing w:line="360" w:lineRule="auto"/>
              <w:jc w:val="center"/>
              <w:rPr>
                <w:rFonts w:hint="eastAsia" w:ascii="宋体" w:hAnsi="宋体" w:eastAsia="宋体" w:cs="宋体"/>
                <w:kern w:val="0"/>
                <w:sz w:val="28"/>
                <w:szCs w:val="28"/>
                <w:lang w:bidi="ar"/>
              </w:rPr>
            </w:pPr>
            <w:r>
              <w:rPr>
                <w:rFonts w:hint="eastAsia" w:ascii="宋体" w:hAnsi="宋体" w:eastAsia="宋体" w:cs="宋体"/>
                <w:kern w:val="0"/>
                <w:sz w:val="28"/>
                <w:szCs w:val="28"/>
                <w:lang w:val="en-US" w:eastAsia="zh-CN" w:bidi="ar"/>
              </w:rPr>
              <w:t>深圳市耀迪窗饰技术有限公司</w:t>
            </w:r>
          </w:p>
        </w:tc>
        <w:tc>
          <w:tcPr>
            <w:tcW w:w="1993" w:type="pct"/>
            <w:shd w:val="clear" w:color="auto" w:fill="auto"/>
            <w:vAlign w:val="center"/>
          </w:tcPr>
          <w:p>
            <w:pPr>
              <w:widowControl/>
              <w:spacing w:line="360" w:lineRule="auto"/>
              <w:jc w:val="center"/>
              <w:rPr>
                <w:rFonts w:hint="eastAsia" w:ascii="宋体" w:hAnsi="宋体" w:eastAsia="宋体" w:cs="宋体"/>
                <w:kern w:val="0"/>
                <w:sz w:val="28"/>
                <w:szCs w:val="28"/>
                <w:lang w:bidi="ar"/>
              </w:rPr>
            </w:pPr>
            <w:r>
              <w:rPr>
                <w:rFonts w:hint="eastAsia" w:ascii="宋体" w:hAnsi="宋体" w:eastAsia="宋体" w:cs="宋体"/>
                <w:kern w:val="0"/>
                <w:sz w:val="28"/>
                <w:szCs w:val="28"/>
                <w:lang w:val="en-US" w:eastAsia="zh-CN" w:bidi="ar"/>
              </w:rPr>
              <w:t>2932310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10" w:hRule="atLeast"/>
          <w:tblCellSpacing w:w="0" w:type="dxa"/>
        </w:trPr>
        <w:tc>
          <w:tcPr>
            <w:tcW w:w="3006" w:type="pct"/>
            <w:shd w:val="clear" w:color="auto" w:fill="auto"/>
            <w:vAlign w:val="center"/>
          </w:tcPr>
          <w:p>
            <w:pPr>
              <w:widowControl/>
              <w:spacing w:line="360" w:lineRule="auto"/>
              <w:jc w:val="center"/>
              <w:rPr>
                <w:rFonts w:hint="eastAsia" w:ascii="宋体" w:hAnsi="宋体" w:eastAsia="宋体" w:cs="宋体"/>
                <w:kern w:val="0"/>
                <w:sz w:val="28"/>
                <w:szCs w:val="28"/>
                <w:lang w:bidi="ar"/>
              </w:rPr>
            </w:pPr>
            <w:r>
              <w:rPr>
                <w:rFonts w:hint="eastAsia" w:ascii="宋体" w:hAnsi="宋体" w:eastAsia="宋体" w:cs="宋体"/>
                <w:kern w:val="0"/>
                <w:sz w:val="28"/>
                <w:szCs w:val="28"/>
                <w:lang w:val="en-US" w:eastAsia="zh-CN" w:bidi="ar"/>
              </w:rPr>
              <w:t>广东佰河控股集团有限公司</w:t>
            </w:r>
          </w:p>
        </w:tc>
        <w:tc>
          <w:tcPr>
            <w:tcW w:w="1993" w:type="pct"/>
            <w:shd w:val="clear" w:color="auto" w:fill="auto"/>
            <w:vAlign w:val="center"/>
          </w:tcPr>
          <w:p>
            <w:pPr>
              <w:widowControl/>
              <w:spacing w:line="360" w:lineRule="auto"/>
              <w:jc w:val="center"/>
              <w:rPr>
                <w:rFonts w:hint="eastAsia" w:ascii="宋体" w:hAnsi="宋体" w:eastAsia="宋体" w:cs="宋体"/>
                <w:kern w:val="0"/>
                <w:sz w:val="28"/>
                <w:szCs w:val="28"/>
                <w:lang w:bidi="ar"/>
              </w:rPr>
            </w:pPr>
            <w:r>
              <w:rPr>
                <w:rFonts w:hint="eastAsia" w:ascii="宋体" w:hAnsi="宋体" w:eastAsia="宋体" w:cs="宋体"/>
                <w:kern w:val="0"/>
                <w:sz w:val="28"/>
                <w:szCs w:val="28"/>
                <w:lang w:val="en-US" w:eastAsia="zh-CN" w:bidi="ar"/>
              </w:rPr>
              <w:t>2944245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10" w:hRule="atLeast"/>
          <w:tblCellSpacing w:w="0" w:type="dxa"/>
        </w:trPr>
        <w:tc>
          <w:tcPr>
            <w:tcW w:w="3006" w:type="pct"/>
            <w:shd w:val="clear" w:color="auto" w:fill="auto"/>
            <w:vAlign w:val="center"/>
          </w:tcPr>
          <w:p>
            <w:pPr>
              <w:widowControl/>
              <w:spacing w:line="360" w:lineRule="auto"/>
              <w:jc w:val="center"/>
              <w:rPr>
                <w:rFonts w:hint="eastAsia" w:ascii="宋体" w:hAnsi="宋体" w:eastAsia="宋体" w:cs="宋体"/>
                <w:kern w:val="0"/>
                <w:sz w:val="28"/>
                <w:szCs w:val="28"/>
                <w:lang w:bidi="ar"/>
              </w:rPr>
            </w:pPr>
            <w:r>
              <w:rPr>
                <w:rFonts w:hint="eastAsia" w:ascii="宋体" w:hAnsi="宋体" w:eastAsia="宋体" w:cs="宋体"/>
                <w:kern w:val="0"/>
                <w:sz w:val="28"/>
                <w:szCs w:val="28"/>
                <w:lang w:val="en-US" w:eastAsia="zh-CN" w:bidi="ar"/>
              </w:rPr>
              <w:t>深圳市新诚鑫布业有限公司</w:t>
            </w:r>
          </w:p>
        </w:tc>
        <w:tc>
          <w:tcPr>
            <w:tcW w:w="1993" w:type="pct"/>
            <w:shd w:val="clear" w:color="auto" w:fill="auto"/>
            <w:vAlign w:val="center"/>
          </w:tcPr>
          <w:p>
            <w:pPr>
              <w:widowControl/>
              <w:spacing w:line="360" w:lineRule="auto"/>
              <w:jc w:val="center"/>
              <w:rPr>
                <w:rFonts w:hint="eastAsia" w:ascii="宋体" w:hAnsi="宋体" w:eastAsia="宋体" w:cs="宋体"/>
                <w:kern w:val="0"/>
                <w:sz w:val="28"/>
                <w:szCs w:val="28"/>
                <w:lang w:bidi="ar"/>
              </w:rPr>
            </w:pPr>
            <w:r>
              <w:rPr>
                <w:rFonts w:hint="eastAsia" w:ascii="宋体" w:hAnsi="宋体" w:eastAsia="宋体" w:cs="宋体"/>
                <w:kern w:val="0"/>
                <w:sz w:val="28"/>
                <w:szCs w:val="28"/>
                <w:lang w:val="en-US" w:eastAsia="zh-CN" w:bidi="ar"/>
              </w:rPr>
              <w:t>2918499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10" w:hRule="atLeast"/>
          <w:tblCellSpacing w:w="0" w:type="dxa"/>
        </w:trPr>
        <w:tc>
          <w:tcPr>
            <w:tcW w:w="3006" w:type="pct"/>
            <w:shd w:val="clear" w:color="auto" w:fill="auto"/>
            <w:vAlign w:val="center"/>
          </w:tcPr>
          <w:p>
            <w:pPr>
              <w:widowControl/>
              <w:spacing w:line="360" w:lineRule="auto"/>
              <w:jc w:val="center"/>
              <w:rPr>
                <w:rFonts w:hint="eastAsia" w:ascii="宋体" w:hAnsi="宋体" w:eastAsia="宋体" w:cs="宋体"/>
                <w:kern w:val="0"/>
                <w:sz w:val="28"/>
                <w:szCs w:val="28"/>
                <w:lang w:bidi="ar"/>
              </w:rPr>
            </w:pPr>
            <w:r>
              <w:rPr>
                <w:rFonts w:hint="eastAsia" w:ascii="宋体" w:hAnsi="宋体" w:eastAsia="宋体" w:cs="宋体"/>
                <w:kern w:val="0"/>
                <w:sz w:val="28"/>
                <w:szCs w:val="28"/>
                <w:lang w:val="en-US" w:eastAsia="zh-CN" w:bidi="ar"/>
              </w:rPr>
              <w:t>深圳市裕嘉科技有限公司</w:t>
            </w:r>
          </w:p>
        </w:tc>
        <w:tc>
          <w:tcPr>
            <w:tcW w:w="1993" w:type="pct"/>
            <w:shd w:val="clear" w:color="auto" w:fill="auto"/>
            <w:vAlign w:val="center"/>
          </w:tcPr>
          <w:p>
            <w:pPr>
              <w:widowControl/>
              <w:spacing w:line="360" w:lineRule="auto"/>
              <w:jc w:val="center"/>
              <w:rPr>
                <w:rFonts w:hint="eastAsia" w:ascii="宋体" w:hAnsi="宋体" w:eastAsia="宋体" w:cs="宋体"/>
                <w:kern w:val="0"/>
                <w:sz w:val="28"/>
                <w:szCs w:val="28"/>
                <w:lang w:bidi="ar"/>
              </w:rPr>
            </w:pPr>
            <w:r>
              <w:rPr>
                <w:rFonts w:hint="eastAsia" w:ascii="宋体" w:hAnsi="宋体" w:eastAsia="宋体" w:cs="宋体"/>
                <w:kern w:val="0"/>
                <w:sz w:val="28"/>
                <w:szCs w:val="28"/>
                <w:lang w:val="en-US" w:eastAsia="zh-CN" w:bidi="ar"/>
              </w:rPr>
              <w:t>2943348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76" w:hRule="atLeast"/>
          <w:tblCellSpacing w:w="0" w:type="dxa"/>
        </w:trPr>
        <w:tc>
          <w:tcPr>
            <w:tcW w:w="3006" w:type="pct"/>
            <w:shd w:val="clear" w:color="auto" w:fill="auto"/>
            <w:vAlign w:val="center"/>
          </w:tcPr>
          <w:p>
            <w:pPr>
              <w:widowControl/>
              <w:spacing w:line="360" w:lineRule="auto"/>
              <w:jc w:val="center"/>
              <w:rPr>
                <w:rFonts w:hint="eastAsia" w:ascii="宋体" w:hAnsi="宋体" w:eastAsia="宋体" w:cs="宋体"/>
                <w:kern w:val="0"/>
                <w:sz w:val="28"/>
                <w:szCs w:val="28"/>
                <w:lang w:bidi="ar"/>
              </w:rPr>
            </w:pPr>
            <w:r>
              <w:rPr>
                <w:rFonts w:hint="eastAsia" w:ascii="宋体" w:hAnsi="宋体" w:eastAsia="宋体" w:cs="宋体"/>
                <w:kern w:val="0"/>
                <w:sz w:val="28"/>
                <w:szCs w:val="28"/>
                <w:lang w:val="en-US" w:eastAsia="zh-CN" w:bidi="ar"/>
              </w:rPr>
              <w:t>深圳市安德福环保新材料有限公司</w:t>
            </w:r>
          </w:p>
        </w:tc>
        <w:tc>
          <w:tcPr>
            <w:tcW w:w="1993" w:type="pct"/>
            <w:shd w:val="clear" w:color="auto" w:fill="auto"/>
            <w:vAlign w:val="center"/>
          </w:tcPr>
          <w:p>
            <w:pPr>
              <w:widowControl/>
              <w:spacing w:line="360" w:lineRule="auto"/>
              <w:jc w:val="center"/>
              <w:rPr>
                <w:rFonts w:hint="eastAsia" w:ascii="宋体" w:hAnsi="宋体" w:eastAsia="宋体" w:cs="宋体"/>
                <w:kern w:val="0"/>
                <w:sz w:val="28"/>
                <w:szCs w:val="28"/>
                <w:lang w:bidi="ar"/>
              </w:rPr>
            </w:pPr>
            <w:r>
              <w:rPr>
                <w:rFonts w:hint="eastAsia" w:ascii="宋体" w:hAnsi="宋体" w:eastAsia="宋体" w:cs="宋体"/>
                <w:kern w:val="0"/>
                <w:sz w:val="28"/>
                <w:szCs w:val="28"/>
                <w:lang w:val="en-US" w:eastAsia="zh-CN" w:bidi="ar"/>
              </w:rPr>
              <w:t>1436019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10" w:hRule="atLeast"/>
          <w:tblCellSpacing w:w="0" w:type="dxa"/>
        </w:trPr>
        <w:tc>
          <w:tcPr>
            <w:tcW w:w="3006" w:type="pct"/>
            <w:shd w:val="clear" w:color="auto" w:fill="auto"/>
            <w:vAlign w:val="center"/>
          </w:tcPr>
          <w:p>
            <w:pPr>
              <w:widowControl/>
              <w:spacing w:line="360" w:lineRule="auto"/>
              <w:jc w:val="center"/>
              <w:rPr>
                <w:rFonts w:hint="eastAsia" w:ascii="宋体" w:hAnsi="宋体" w:eastAsia="宋体" w:cs="宋体"/>
                <w:kern w:val="0"/>
                <w:sz w:val="28"/>
                <w:szCs w:val="28"/>
                <w:lang w:bidi="ar"/>
              </w:rPr>
            </w:pPr>
            <w:r>
              <w:rPr>
                <w:rFonts w:hint="eastAsia" w:ascii="宋体" w:hAnsi="宋体" w:eastAsia="宋体" w:cs="宋体"/>
                <w:kern w:val="0"/>
                <w:sz w:val="28"/>
                <w:szCs w:val="28"/>
                <w:lang w:val="en-US" w:eastAsia="zh-CN" w:bidi="ar"/>
              </w:rPr>
              <w:t>深圳汇信昌供应链有限公司</w:t>
            </w:r>
          </w:p>
        </w:tc>
        <w:tc>
          <w:tcPr>
            <w:tcW w:w="1993" w:type="pct"/>
            <w:shd w:val="clear" w:color="auto" w:fill="auto"/>
            <w:vAlign w:val="center"/>
          </w:tcPr>
          <w:p>
            <w:pPr>
              <w:widowControl/>
              <w:spacing w:line="360" w:lineRule="auto"/>
              <w:jc w:val="center"/>
              <w:rPr>
                <w:rFonts w:hint="eastAsia" w:ascii="宋体" w:hAnsi="宋体" w:eastAsia="宋体" w:cs="宋体"/>
                <w:kern w:val="0"/>
                <w:sz w:val="28"/>
                <w:szCs w:val="28"/>
                <w:lang w:bidi="ar"/>
              </w:rPr>
            </w:pPr>
            <w:r>
              <w:rPr>
                <w:rFonts w:hint="eastAsia" w:ascii="宋体" w:hAnsi="宋体" w:eastAsia="宋体" w:cs="宋体"/>
                <w:kern w:val="0"/>
                <w:sz w:val="28"/>
                <w:szCs w:val="28"/>
                <w:lang w:val="en-US" w:eastAsia="zh-CN" w:bidi="ar"/>
              </w:rPr>
              <w:t>1110757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10" w:hRule="atLeast"/>
          <w:tblCellSpacing w:w="0" w:type="dxa"/>
        </w:trPr>
        <w:tc>
          <w:tcPr>
            <w:tcW w:w="3006" w:type="pct"/>
            <w:shd w:val="clear" w:color="auto" w:fill="auto"/>
            <w:vAlign w:val="center"/>
          </w:tcPr>
          <w:p>
            <w:pPr>
              <w:widowControl/>
              <w:spacing w:line="360" w:lineRule="auto"/>
              <w:jc w:val="center"/>
              <w:rPr>
                <w:rFonts w:hint="eastAsia" w:ascii="宋体" w:hAnsi="宋体" w:eastAsia="宋体" w:cs="宋体"/>
                <w:kern w:val="0"/>
                <w:sz w:val="28"/>
                <w:szCs w:val="28"/>
                <w:lang w:bidi="ar"/>
              </w:rPr>
            </w:pPr>
            <w:r>
              <w:rPr>
                <w:rFonts w:hint="eastAsia" w:ascii="宋体" w:hAnsi="宋体" w:eastAsia="宋体" w:cs="宋体"/>
                <w:kern w:val="0"/>
                <w:sz w:val="28"/>
                <w:szCs w:val="28"/>
                <w:lang w:val="en-US" w:eastAsia="zh-CN" w:bidi="ar"/>
              </w:rPr>
              <w:t>深圳市雅虹遮阳产品技术有限公司</w:t>
            </w:r>
          </w:p>
        </w:tc>
        <w:tc>
          <w:tcPr>
            <w:tcW w:w="1993" w:type="pct"/>
            <w:shd w:val="clear" w:color="auto" w:fill="auto"/>
            <w:vAlign w:val="center"/>
          </w:tcPr>
          <w:p>
            <w:pPr>
              <w:widowControl/>
              <w:spacing w:line="360" w:lineRule="auto"/>
              <w:jc w:val="center"/>
              <w:rPr>
                <w:rFonts w:hint="eastAsia" w:ascii="宋体" w:hAnsi="宋体" w:eastAsia="宋体" w:cs="宋体"/>
                <w:kern w:val="0"/>
                <w:sz w:val="28"/>
                <w:szCs w:val="28"/>
                <w:lang w:bidi="ar"/>
              </w:rPr>
            </w:pPr>
            <w:r>
              <w:rPr>
                <w:rFonts w:hint="eastAsia" w:ascii="宋体" w:hAnsi="宋体" w:eastAsia="宋体" w:cs="宋体"/>
                <w:kern w:val="0"/>
                <w:sz w:val="28"/>
                <w:szCs w:val="28"/>
                <w:lang w:val="en-US" w:eastAsia="zh-CN" w:bidi="ar"/>
              </w:rPr>
              <w:t>2220608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10" w:hRule="atLeast"/>
          <w:tblCellSpacing w:w="0" w:type="dxa"/>
        </w:trPr>
        <w:tc>
          <w:tcPr>
            <w:tcW w:w="3006" w:type="pct"/>
            <w:shd w:val="clear" w:color="auto" w:fill="auto"/>
            <w:vAlign w:val="center"/>
          </w:tcPr>
          <w:p>
            <w:pPr>
              <w:widowControl/>
              <w:spacing w:line="360" w:lineRule="auto"/>
              <w:jc w:val="center"/>
              <w:rPr>
                <w:rFonts w:hint="eastAsia" w:ascii="宋体" w:hAnsi="宋体" w:eastAsia="宋体" w:cs="宋体"/>
                <w:kern w:val="0"/>
                <w:sz w:val="28"/>
                <w:szCs w:val="28"/>
                <w:lang w:bidi="ar"/>
              </w:rPr>
            </w:pPr>
            <w:r>
              <w:rPr>
                <w:rFonts w:hint="eastAsia" w:ascii="宋体" w:hAnsi="宋体" w:eastAsia="宋体" w:cs="宋体"/>
                <w:kern w:val="0"/>
                <w:sz w:val="28"/>
                <w:szCs w:val="28"/>
                <w:lang w:val="en-US" w:eastAsia="zh-CN" w:bidi="ar"/>
              </w:rPr>
              <w:t>深圳市兴鸿达实业发展有限公司</w:t>
            </w:r>
          </w:p>
        </w:tc>
        <w:tc>
          <w:tcPr>
            <w:tcW w:w="1993" w:type="pct"/>
            <w:shd w:val="clear" w:color="auto" w:fill="auto"/>
            <w:vAlign w:val="center"/>
          </w:tcPr>
          <w:p>
            <w:pPr>
              <w:widowControl/>
              <w:spacing w:line="360" w:lineRule="auto"/>
              <w:jc w:val="center"/>
              <w:rPr>
                <w:rFonts w:hint="eastAsia" w:ascii="宋体" w:hAnsi="宋体" w:eastAsia="宋体" w:cs="宋体"/>
                <w:kern w:val="0"/>
                <w:sz w:val="28"/>
                <w:szCs w:val="28"/>
                <w:lang w:bidi="ar"/>
              </w:rPr>
            </w:pPr>
            <w:r>
              <w:rPr>
                <w:rFonts w:hint="eastAsia" w:ascii="宋体" w:hAnsi="宋体" w:eastAsia="宋体" w:cs="宋体"/>
                <w:kern w:val="0"/>
                <w:sz w:val="28"/>
                <w:szCs w:val="28"/>
                <w:lang w:val="en-US" w:eastAsia="zh-CN" w:bidi="ar"/>
              </w:rPr>
              <w:t>2857805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10" w:hRule="atLeast"/>
          <w:tblCellSpacing w:w="0" w:type="dxa"/>
        </w:trPr>
        <w:tc>
          <w:tcPr>
            <w:tcW w:w="3006" w:type="pct"/>
            <w:shd w:val="clear" w:color="auto" w:fill="auto"/>
            <w:vAlign w:val="center"/>
          </w:tcPr>
          <w:p>
            <w:pPr>
              <w:widowControl/>
              <w:spacing w:line="360" w:lineRule="auto"/>
              <w:jc w:val="center"/>
              <w:rPr>
                <w:rFonts w:hint="eastAsia" w:ascii="宋体" w:hAnsi="宋体" w:eastAsia="宋体" w:cs="宋体"/>
                <w:kern w:val="0"/>
                <w:sz w:val="28"/>
                <w:szCs w:val="28"/>
                <w:lang w:bidi="ar"/>
              </w:rPr>
            </w:pPr>
            <w:r>
              <w:rPr>
                <w:rFonts w:hint="eastAsia" w:ascii="宋体" w:hAnsi="宋体" w:eastAsia="宋体" w:cs="宋体"/>
                <w:kern w:val="0"/>
                <w:sz w:val="28"/>
                <w:szCs w:val="28"/>
                <w:lang w:val="en-US" w:eastAsia="zh-CN" w:bidi="ar"/>
              </w:rPr>
              <w:t>杭州国越纺织有限公司</w:t>
            </w:r>
          </w:p>
        </w:tc>
        <w:tc>
          <w:tcPr>
            <w:tcW w:w="1993" w:type="pct"/>
            <w:shd w:val="clear" w:color="auto" w:fill="auto"/>
            <w:vAlign w:val="center"/>
          </w:tcPr>
          <w:p>
            <w:pPr>
              <w:widowControl/>
              <w:spacing w:line="360" w:lineRule="auto"/>
              <w:jc w:val="center"/>
              <w:rPr>
                <w:rFonts w:hint="eastAsia" w:ascii="宋体" w:hAnsi="宋体" w:eastAsia="宋体" w:cs="宋体"/>
                <w:kern w:val="0"/>
                <w:sz w:val="28"/>
                <w:szCs w:val="28"/>
                <w:lang w:bidi="ar"/>
              </w:rPr>
            </w:pPr>
            <w:r>
              <w:rPr>
                <w:rFonts w:hint="eastAsia" w:ascii="宋体" w:hAnsi="宋体" w:eastAsia="宋体" w:cs="宋体"/>
                <w:kern w:val="0"/>
                <w:sz w:val="28"/>
                <w:szCs w:val="28"/>
                <w:lang w:val="en-US" w:eastAsia="zh-CN" w:bidi="ar"/>
              </w:rPr>
              <w:t>2396589</w:t>
            </w:r>
          </w:p>
        </w:tc>
      </w:tr>
    </w:tbl>
    <w:p>
      <w:pPr>
        <w:spacing w:line="360" w:lineRule="auto"/>
        <w:rPr>
          <w:rFonts w:hint="eastAsia" w:ascii="宋体" w:hAnsi="宋体" w:eastAsia="宋体" w:cs="宋体"/>
          <w:sz w:val="28"/>
          <w:szCs w:val="28"/>
        </w:rPr>
      </w:pPr>
      <w:r>
        <w:rPr>
          <w:rFonts w:hint="eastAsia" w:ascii="宋体" w:hAnsi="宋体" w:eastAsia="宋体" w:cs="宋体"/>
          <w:sz w:val="28"/>
          <w:szCs w:val="28"/>
        </w:rPr>
        <w:t>四、候选中标供应商名单：</w:t>
      </w:r>
    </w:p>
    <w:tbl>
      <w:tblPr>
        <w:tblStyle w:val="6"/>
        <w:tblW w:w="4998" w:type="pct"/>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5647"/>
        <w:gridCol w:w="3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9" w:hRule="atLeast"/>
          <w:tblCellSpacing w:w="0" w:type="dxa"/>
        </w:trPr>
        <w:tc>
          <w:tcPr>
            <w:tcW w:w="3003" w:type="pct"/>
            <w:shd w:val="clear" w:color="auto" w:fill="auto"/>
            <w:vAlign w:val="center"/>
          </w:tcPr>
          <w:p>
            <w:pPr>
              <w:widowControl/>
              <w:spacing w:line="360" w:lineRule="auto"/>
              <w:jc w:val="center"/>
              <w:rPr>
                <w:rFonts w:hint="eastAsia" w:ascii="宋体" w:hAnsi="宋体" w:eastAsia="宋体" w:cs="宋体"/>
                <w:sz w:val="28"/>
                <w:szCs w:val="28"/>
              </w:rPr>
            </w:pPr>
            <w:r>
              <w:rPr>
                <w:rFonts w:hint="eastAsia" w:ascii="宋体" w:hAnsi="宋体" w:eastAsia="宋体" w:cs="宋体"/>
                <w:kern w:val="0"/>
                <w:sz w:val="28"/>
                <w:szCs w:val="28"/>
                <w:lang w:bidi="ar"/>
              </w:rPr>
              <w:t>投标供应商</w:t>
            </w:r>
          </w:p>
        </w:tc>
        <w:tc>
          <w:tcPr>
            <w:tcW w:w="1996" w:type="pct"/>
            <w:shd w:val="clear" w:color="auto" w:fill="auto"/>
            <w:vAlign w:val="center"/>
          </w:tcPr>
          <w:p>
            <w:pPr>
              <w:widowControl/>
              <w:spacing w:line="360" w:lineRule="auto"/>
              <w:jc w:val="center"/>
              <w:rPr>
                <w:rFonts w:hint="eastAsia" w:ascii="宋体" w:hAnsi="宋体" w:eastAsia="宋体" w:cs="宋体"/>
                <w:sz w:val="28"/>
                <w:szCs w:val="28"/>
              </w:rPr>
            </w:pPr>
            <w:r>
              <w:rPr>
                <w:rFonts w:hint="eastAsia" w:ascii="宋体" w:hAnsi="宋体" w:eastAsia="宋体" w:cs="宋体"/>
                <w:kern w:val="0"/>
                <w:sz w:val="28"/>
                <w:szCs w:val="28"/>
                <w:lang w:bidi="ar"/>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0" w:hRule="atLeast"/>
          <w:tblCellSpacing w:w="0" w:type="dxa"/>
        </w:trPr>
        <w:tc>
          <w:tcPr>
            <w:tcW w:w="5647" w:type="dxa"/>
            <w:shd w:val="clear" w:color="auto" w:fill="auto"/>
            <w:vAlign w:val="center"/>
          </w:tcPr>
          <w:p>
            <w:pPr>
              <w:widowControl/>
              <w:spacing w:line="360" w:lineRule="auto"/>
              <w:jc w:val="center"/>
              <w:rPr>
                <w:rFonts w:hint="eastAsia" w:ascii="宋体" w:hAnsi="宋体" w:eastAsia="宋体" w:cs="宋体"/>
                <w:kern w:val="0"/>
                <w:sz w:val="28"/>
                <w:szCs w:val="28"/>
                <w:lang w:val="en-US" w:eastAsia="zh-CN" w:bidi="ar"/>
              </w:rPr>
            </w:pPr>
            <w:r>
              <w:rPr>
                <w:rFonts w:hint="eastAsia" w:ascii="宋体" w:hAnsi="宋体" w:eastAsia="宋体" w:cs="宋体"/>
                <w:kern w:val="0"/>
                <w:sz w:val="28"/>
                <w:szCs w:val="28"/>
                <w:lang w:val="en-US" w:eastAsia="zh-CN" w:bidi="ar"/>
              </w:rPr>
              <w:t>杭州国越纺织有限公司</w:t>
            </w:r>
          </w:p>
        </w:tc>
        <w:tc>
          <w:tcPr>
            <w:tcW w:w="3754" w:type="dxa"/>
            <w:shd w:val="clear" w:color="auto" w:fill="auto"/>
            <w:vAlign w:val="center"/>
          </w:tcPr>
          <w:p>
            <w:pPr>
              <w:widowControl/>
              <w:spacing w:line="360" w:lineRule="auto"/>
              <w:jc w:val="center"/>
              <w:rPr>
                <w:rFonts w:hint="eastAsia" w:ascii="宋体" w:hAnsi="宋体" w:eastAsia="宋体" w:cs="宋体"/>
                <w:kern w:val="0"/>
                <w:sz w:val="28"/>
                <w:szCs w:val="28"/>
                <w:lang w:val="en-US" w:eastAsia="zh-CN" w:bidi="ar"/>
              </w:rPr>
            </w:pPr>
            <w:r>
              <w:rPr>
                <w:rFonts w:hint="eastAsia" w:ascii="宋体" w:hAnsi="宋体" w:eastAsia="宋体" w:cs="宋体"/>
                <w:kern w:val="0"/>
                <w:sz w:val="28"/>
                <w:szCs w:val="28"/>
                <w:lang w:val="en-US" w:eastAsia="zh-CN" w:bidi="ar"/>
              </w:rPr>
              <w:t>2396589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0" w:hRule="atLeast"/>
          <w:tblCellSpacing w:w="0" w:type="dxa"/>
        </w:trPr>
        <w:tc>
          <w:tcPr>
            <w:tcW w:w="5647" w:type="dxa"/>
            <w:shd w:val="clear" w:color="auto" w:fill="auto"/>
            <w:vAlign w:val="center"/>
          </w:tcPr>
          <w:p>
            <w:pPr>
              <w:widowControl/>
              <w:spacing w:line="360" w:lineRule="auto"/>
              <w:jc w:val="center"/>
              <w:rPr>
                <w:rFonts w:hint="eastAsia" w:ascii="宋体" w:hAnsi="宋体" w:eastAsia="宋体" w:cs="宋体"/>
                <w:kern w:val="0"/>
                <w:sz w:val="28"/>
                <w:szCs w:val="28"/>
                <w:lang w:val="en-US" w:eastAsia="zh-CN" w:bidi="ar"/>
              </w:rPr>
            </w:pPr>
            <w:r>
              <w:rPr>
                <w:rFonts w:hint="eastAsia" w:ascii="宋体" w:hAnsi="宋体" w:eastAsia="宋体" w:cs="宋体"/>
                <w:kern w:val="0"/>
                <w:sz w:val="28"/>
                <w:szCs w:val="28"/>
                <w:lang w:val="en-US" w:eastAsia="zh-CN" w:bidi="ar"/>
              </w:rPr>
              <w:t>深圳市雅虹遮阳产品技术有限公司</w:t>
            </w:r>
          </w:p>
        </w:tc>
        <w:tc>
          <w:tcPr>
            <w:tcW w:w="3754" w:type="dxa"/>
            <w:shd w:val="clear" w:color="auto" w:fill="auto"/>
            <w:vAlign w:val="center"/>
          </w:tcPr>
          <w:p>
            <w:pPr>
              <w:widowControl/>
              <w:spacing w:line="360" w:lineRule="auto"/>
              <w:jc w:val="center"/>
              <w:rPr>
                <w:rFonts w:hint="eastAsia" w:ascii="宋体" w:hAnsi="宋体" w:eastAsia="宋体" w:cs="宋体"/>
                <w:kern w:val="0"/>
                <w:sz w:val="28"/>
                <w:szCs w:val="28"/>
                <w:lang w:val="en-US" w:eastAsia="zh-CN" w:bidi="ar"/>
              </w:rPr>
            </w:pPr>
            <w:r>
              <w:rPr>
                <w:rFonts w:hint="eastAsia" w:ascii="宋体" w:hAnsi="宋体" w:eastAsia="宋体" w:cs="宋体"/>
                <w:kern w:val="0"/>
                <w:sz w:val="28"/>
                <w:szCs w:val="28"/>
                <w:lang w:val="en-US" w:eastAsia="zh-CN" w:bidi="ar"/>
              </w:rPr>
              <w:t>2220608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9" w:hRule="atLeast"/>
          <w:tblCellSpacing w:w="0" w:type="dxa"/>
        </w:trPr>
        <w:tc>
          <w:tcPr>
            <w:tcW w:w="5647" w:type="dxa"/>
            <w:shd w:val="clear" w:color="auto" w:fill="auto"/>
            <w:vAlign w:val="center"/>
          </w:tcPr>
          <w:p>
            <w:pPr>
              <w:widowControl/>
              <w:spacing w:line="360" w:lineRule="auto"/>
              <w:jc w:val="center"/>
              <w:rPr>
                <w:rFonts w:hint="eastAsia" w:ascii="宋体" w:hAnsi="宋体" w:eastAsia="宋体" w:cs="宋体"/>
                <w:kern w:val="0"/>
                <w:sz w:val="28"/>
                <w:szCs w:val="28"/>
                <w:lang w:val="en-US" w:eastAsia="zh-CN" w:bidi="ar"/>
              </w:rPr>
            </w:pPr>
            <w:r>
              <w:rPr>
                <w:rFonts w:hint="eastAsia" w:ascii="宋体" w:hAnsi="宋体" w:eastAsia="宋体" w:cs="宋体"/>
                <w:kern w:val="0"/>
                <w:sz w:val="28"/>
                <w:szCs w:val="28"/>
                <w:lang w:val="en-US" w:eastAsia="zh-CN" w:bidi="ar"/>
              </w:rPr>
              <w:t>深圳市兴鸿达实业发展有限公司</w:t>
            </w:r>
          </w:p>
        </w:tc>
        <w:tc>
          <w:tcPr>
            <w:tcW w:w="3754" w:type="dxa"/>
            <w:shd w:val="clear" w:color="auto" w:fill="auto"/>
            <w:vAlign w:val="center"/>
          </w:tcPr>
          <w:p>
            <w:pPr>
              <w:widowControl/>
              <w:spacing w:line="360" w:lineRule="auto"/>
              <w:jc w:val="center"/>
              <w:rPr>
                <w:rFonts w:hint="eastAsia" w:ascii="宋体" w:hAnsi="宋体" w:eastAsia="宋体" w:cs="宋体"/>
                <w:kern w:val="0"/>
                <w:sz w:val="28"/>
                <w:szCs w:val="28"/>
                <w:lang w:val="en-US" w:eastAsia="zh-CN" w:bidi="ar"/>
              </w:rPr>
            </w:pPr>
            <w:r>
              <w:rPr>
                <w:rFonts w:hint="eastAsia" w:ascii="宋体" w:hAnsi="宋体" w:eastAsia="宋体" w:cs="宋体"/>
                <w:kern w:val="0"/>
                <w:sz w:val="28"/>
                <w:szCs w:val="28"/>
                <w:lang w:val="en-US" w:eastAsia="zh-CN" w:bidi="ar"/>
              </w:rPr>
              <w:t>2857805</w:t>
            </w:r>
          </w:p>
        </w:tc>
      </w:tr>
    </w:tbl>
    <w:p>
      <w:pPr>
        <w:spacing w:line="360" w:lineRule="auto"/>
        <w:rPr>
          <w:rFonts w:hint="eastAsia" w:ascii="宋体" w:hAnsi="宋体" w:eastAsia="宋体" w:cs="宋体"/>
          <w:sz w:val="28"/>
          <w:szCs w:val="28"/>
        </w:rPr>
      </w:pPr>
      <w:r>
        <w:rPr>
          <w:rFonts w:hint="eastAsia" w:ascii="宋体" w:hAnsi="宋体" w:eastAsia="宋体" w:cs="宋体"/>
          <w:sz w:val="28"/>
          <w:szCs w:val="28"/>
        </w:rPr>
        <w:t>五、中标（成交）信息</w:t>
      </w:r>
    </w:p>
    <w:p>
      <w:pPr>
        <w:spacing w:line="360" w:lineRule="auto"/>
        <w:rPr>
          <w:rFonts w:hint="eastAsia" w:ascii="宋体" w:hAnsi="宋体" w:eastAsia="宋体" w:cs="宋体"/>
          <w:sz w:val="28"/>
          <w:szCs w:val="28"/>
        </w:rPr>
      </w:pPr>
      <w:r>
        <w:rPr>
          <w:rFonts w:hint="eastAsia" w:ascii="宋体" w:hAnsi="宋体" w:eastAsia="宋体" w:cs="宋体"/>
          <w:sz w:val="28"/>
          <w:szCs w:val="28"/>
        </w:rPr>
        <w:t xml:space="preserve">    供应商名称：</w:t>
      </w:r>
      <w:r>
        <w:rPr>
          <w:rFonts w:hint="eastAsia" w:ascii="宋体" w:hAnsi="宋体" w:eastAsia="宋体" w:cs="宋体"/>
          <w:kern w:val="0"/>
          <w:sz w:val="28"/>
          <w:szCs w:val="28"/>
          <w:lang w:val="en-US" w:eastAsia="zh-CN" w:bidi="ar"/>
        </w:rPr>
        <w:t>杭州国越纺织有限公司</w:t>
      </w:r>
    </w:p>
    <w:p>
      <w:pPr>
        <w:spacing w:line="360" w:lineRule="auto"/>
        <w:rPr>
          <w:rFonts w:hint="eastAsia" w:ascii="宋体" w:hAnsi="宋体" w:eastAsia="宋体" w:cs="宋体"/>
          <w:sz w:val="28"/>
          <w:szCs w:val="28"/>
        </w:rPr>
      </w:pPr>
      <w:r>
        <w:rPr>
          <w:rFonts w:hint="eastAsia" w:ascii="宋体" w:hAnsi="宋体" w:eastAsia="宋体" w:cs="宋体"/>
          <w:sz w:val="28"/>
          <w:szCs w:val="28"/>
        </w:rPr>
        <w:t xml:space="preserve">    供应商地址：浙江省杭州市</w:t>
      </w:r>
      <w:r>
        <w:rPr>
          <w:rFonts w:hint="eastAsia" w:ascii="宋体" w:hAnsi="宋体" w:eastAsia="宋体" w:cs="宋体"/>
          <w:sz w:val="28"/>
          <w:szCs w:val="28"/>
          <w:lang w:eastAsia="zh-CN"/>
        </w:rPr>
        <w:t>余杭</w:t>
      </w:r>
      <w:r>
        <w:rPr>
          <w:rFonts w:hint="eastAsia" w:ascii="宋体" w:hAnsi="宋体" w:eastAsia="宋体" w:cs="宋体"/>
          <w:sz w:val="28"/>
          <w:szCs w:val="28"/>
        </w:rPr>
        <w:t>区东湖街道星光街 873 号四楼 402 室</w:t>
      </w:r>
    </w:p>
    <w:p>
      <w:pPr>
        <w:spacing w:line="360" w:lineRule="auto"/>
        <w:rPr>
          <w:rFonts w:hint="eastAsia" w:ascii="宋体" w:hAnsi="宋体" w:eastAsia="宋体" w:cs="宋体"/>
          <w:sz w:val="28"/>
          <w:szCs w:val="28"/>
          <w:lang w:eastAsia="zh-CN"/>
        </w:rPr>
      </w:pPr>
      <w:r>
        <w:rPr>
          <w:rFonts w:hint="eastAsia" w:ascii="宋体" w:hAnsi="宋体" w:eastAsia="宋体" w:cs="宋体"/>
          <w:sz w:val="28"/>
          <w:szCs w:val="28"/>
        </w:rPr>
        <w:t xml:space="preserve">    中标（成交）金额：</w:t>
      </w:r>
      <w:r>
        <w:rPr>
          <w:rFonts w:hint="eastAsia" w:ascii="宋体" w:hAnsi="宋体" w:eastAsia="宋体" w:cs="宋体"/>
          <w:sz w:val="28"/>
          <w:szCs w:val="28"/>
          <w:lang w:eastAsia="zh-CN"/>
        </w:rPr>
        <w:t>人民币</w:t>
      </w:r>
      <w:r>
        <w:rPr>
          <w:rFonts w:hint="eastAsia" w:ascii="宋体" w:hAnsi="宋体" w:eastAsia="宋体" w:cs="宋体"/>
          <w:sz w:val="28"/>
          <w:szCs w:val="28"/>
        </w:rPr>
        <w:t>239</w:t>
      </w:r>
      <w:r>
        <w:rPr>
          <w:rFonts w:hint="eastAsia" w:ascii="宋体" w:hAnsi="宋体" w:eastAsia="宋体" w:cs="宋体"/>
          <w:sz w:val="28"/>
          <w:szCs w:val="28"/>
          <w:lang w:val="en-US" w:eastAsia="zh-CN"/>
        </w:rPr>
        <w:t>.</w:t>
      </w:r>
      <w:r>
        <w:rPr>
          <w:rFonts w:hint="eastAsia" w:ascii="宋体" w:hAnsi="宋体" w:eastAsia="宋体" w:cs="宋体"/>
          <w:sz w:val="28"/>
          <w:szCs w:val="28"/>
        </w:rPr>
        <w:t>6589</w:t>
      </w:r>
      <w:r>
        <w:rPr>
          <w:rFonts w:hint="eastAsia" w:ascii="宋体" w:hAnsi="宋体" w:eastAsia="宋体" w:cs="宋体"/>
          <w:sz w:val="28"/>
          <w:szCs w:val="28"/>
          <w:lang w:eastAsia="zh-CN"/>
        </w:rPr>
        <w:t>万元</w:t>
      </w:r>
    </w:p>
    <w:p>
      <w:pPr>
        <w:spacing w:line="360" w:lineRule="auto"/>
        <w:rPr>
          <w:rFonts w:hint="eastAsia" w:ascii="宋体" w:hAnsi="宋体" w:eastAsia="宋体" w:cs="宋体"/>
          <w:sz w:val="28"/>
          <w:szCs w:val="28"/>
        </w:rPr>
      </w:pPr>
      <w:r>
        <w:rPr>
          <w:rFonts w:hint="eastAsia" w:ascii="宋体" w:hAnsi="宋体" w:eastAsia="宋体" w:cs="宋体"/>
          <w:sz w:val="28"/>
          <w:szCs w:val="28"/>
        </w:rPr>
        <w:t>六、主要标的信息</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spacing w:line="360" w:lineRule="auto"/>
              <w:jc w:val="center"/>
              <w:rPr>
                <w:rFonts w:hint="eastAsia" w:ascii="宋体" w:hAnsi="宋体" w:eastAsia="宋体" w:cs="宋体"/>
                <w:kern w:val="0"/>
                <w:sz w:val="28"/>
                <w:szCs w:val="28"/>
              </w:rPr>
            </w:pPr>
            <w:r>
              <w:rPr>
                <w:rFonts w:hint="eastAsia" w:ascii="宋体" w:hAnsi="宋体" w:eastAsia="宋体" w:cs="宋体"/>
                <w:kern w:val="0"/>
                <w:sz w:val="28"/>
                <w:szCs w:val="28"/>
              </w:rPr>
              <w:t>货物类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spacing w:line="360" w:lineRule="auto"/>
              <w:rPr>
                <w:rFonts w:hint="eastAsia" w:ascii="宋体" w:hAnsi="宋体" w:eastAsia="宋体" w:cs="宋体"/>
                <w:kern w:val="0"/>
                <w:sz w:val="28"/>
                <w:szCs w:val="28"/>
              </w:rPr>
            </w:pPr>
            <w:r>
              <w:rPr>
                <w:rFonts w:hint="eastAsia" w:ascii="宋体" w:hAnsi="宋体" w:eastAsia="宋体" w:cs="宋体"/>
                <w:kern w:val="0"/>
                <w:sz w:val="28"/>
                <w:szCs w:val="28"/>
              </w:rPr>
              <w:t>名称：功能性仿真丝遮光布</w:t>
            </w:r>
          </w:p>
          <w:p>
            <w:pPr>
              <w:spacing w:line="360" w:lineRule="auto"/>
              <w:rPr>
                <w:rFonts w:hint="eastAsia" w:ascii="宋体" w:hAnsi="宋体" w:eastAsia="宋体" w:cs="宋体"/>
                <w:kern w:val="0"/>
                <w:sz w:val="28"/>
                <w:szCs w:val="28"/>
              </w:rPr>
            </w:pPr>
            <w:r>
              <w:rPr>
                <w:rFonts w:hint="eastAsia" w:ascii="宋体" w:hAnsi="宋体" w:eastAsia="宋体" w:cs="宋体"/>
                <w:kern w:val="0"/>
                <w:sz w:val="28"/>
                <w:szCs w:val="28"/>
              </w:rPr>
              <w:t>品牌：花满轩</w:t>
            </w:r>
          </w:p>
          <w:p>
            <w:pPr>
              <w:spacing w:line="360" w:lineRule="auto"/>
              <w:rPr>
                <w:rFonts w:hint="eastAsia" w:ascii="宋体" w:hAnsi="宋体" w:eastAsia="宋体" w:cs="宋体"/>
                <w:kern w:val="0"/>
                <w:sz w:val="28"/>
                <w:szCs w:val="28"/>
              </w:rPr>
            </w:pPr>
            <w:r>
              <w:rPr>
                <w:rFonts w:hint="eastAsia" w:ascii="宋体" w:hAnsi="宋体" w:eastAsia="宋体" w:cs="宋体"/>
                <w:kern w:val="0"/>
                <w:sz w:val="28"/>
                <w:szCs w:val="28"/>
              </w:rPr>
              <w:t>规格型号：GY-HMX-2253</w:t>
            </w:r>
          </w:p>
          <w:p>
            <w:pPr>
              <w:spacing w:line="360" w:lineRule="auto"/>
              <w:rPr>
                <w:rFonts w:hint="eastAsia" w:ascii="宋体" w:hAnsi="宋体" w:eastAsia="宋体" w:cs="宋体"/>
                <w:kern w:val="0"/>
                <w:sz w:val="28"/>
                <w:szCs w:val="28"/>
                <w:lang w:eastAsia="zh-CN"/>
              </w:rPr>
            </w:pPr>
            <w:r>
              <w:rPr>
                <w:rFonts w:hint="eastAsia" w:ascii="宋体" w:hAnsi="宋体" w:eastAsia="宋体" w:cs="宋体"/>
                <w:kern w:val="0"/>
                <w:sz w:val="28"/>
                <w:szCs w:val="28"/>
              </w:rPr>
              <w:t>数量：7870</w:t>
            </w:r>
            <w:r>
              <w:rPr>
                <w:rFonts w:hint="eastAsia" w:ascii="宋体" w:hAnsi="宋体" w:eastAsia="宋体" w:cs="宋体"/>
                <w:kern w:val="0"/>
                <w:sz w:val="28"/>
                <w:szCs w:val="28"/>
                <w:lang w:eastAsia="zh-CN"/>
              </w:rPr>
              <w:t>平方米</w:t>
            </w:r>
          </w:p>
          <w:p>
            <w:pPr>
              <w:spacing w:line="360" w:lineRule="auto"/>
              <w:rPr>
                <w:rFonts w:hint="eastAsia" w:ascii="宋体" w:hAnsi="宋体" w:eastAsia="宋体" w:cs="宋体"/>
                <w:kern w:val="0"/>
                <w:sz w:val="28"/>
                <w:szCs w:val="28"/>
                <w:lang w:eastAsia="zh-CN"/>
              </w:rPr>
            </w:pPr>
            <w:r>
              <w:rPr>
                <w:rFonts w:hint="eastAsia" w:ascii="宋体" w:hAnsi="宋体" w:eastAsia="宋体" w:cs="宋体"/>
                <w:kern w:val="0"/>
                <w:sz w:val="28"/>
                <w:szCs w:val="28"/>
              </w:rPr>
              <w:t>单价：</w:t>
            </w:r>
            <w:r>
              <w:rPr>
                <w:rFonts w:hint="eastAsia" w:ascii="宋体" w:hAnsi="宋体" w:eastAsia="宋体" w:cs="宋体"/>
                <w:kern w:val="0"/>
                <w:sz w:val="28"/>
                <w:szCs w:val="28"/>
                <w:lang w:eastAsia="zh-CN"/>
              </w:rPr>
              <w:t>人民币60元</w:t>
            </w:r>
          </w:p>
        </w:tc>
      </w:tr>
    </w:tbl>
    <w:p>
      <w:pPr>
        <w:spacing w:line="360" w:lineRule="auto"/>
        <w:rPr>
          <w:rFonts w:hint="eastAsia" w:ascii="宋体" w:hAnsi="宋体" w:eastAsia="宋体" w:cs="宋体"/>
          <w:sz w:val="28"/>
          <w:szCs w:val="28"/>
        </w:rPr>
      </w:pPr>
      <w:r>
        <w:rPr>
          <w:rFonts w:hint="eastAsia" w:ascii="宋体" w:hAnsi="宋体" w:eastAsia="宋体" w:cs="宋体"/>
          <w:sz w:val="28"/>
          <w:szCs w:val="28"/>
        </w:rPr>
        <w:t>七、评审委员会成员名单</w:t>
      </w:r>
    </w:p>
    <w:p>
      <w:pPr>
        <w:spacing w:line="360" w:lineRule="auto"/>
        <w:rPr>
          <w:rFonts w:hint="eastAsia" w:ascii="宋体" w:hAnsi="宋体" w:eastAsia="宋体" w:cs="宋体"/>
          <w:sz w:val="28"/>
          <w:szCs w:val="28"/>
          <w:lang w:eastAsia="zh-CN"/>
        </w:rPr>
      </w:pPr>
      <w:r>
        <w:rPr>
          <w:rFonts w:hint="eastAsia" w:ascii="宋体" w:hAnsi="宋体" w:eastAsia="宋体" w:cs="宋体"/>
          <w:sz w:val="28"/>
          <w:szCs w:val="28"/>
        </w:rPr>
        <w:t>褚叔林</w:t>
      </w:r>
      <w:r>
        <w:rPr>
          <w:rFonts w:hint="eastAsia" w:ascii="宋体" w:hAnsi="宋体" w:eastAsia="宋体" w:cs="宋体"/>
          <w:sz w:val="28"/>
          <w:szCs w:val="28"/>
          <w:lang w:eastAsia="zh-CN"/>
        </w:rPr>
        <w:t>、</w:t>
      </w:r>
      <w:r>
        <w:rPr>
          <w:rFonts w:hint="eastAsia" w:ascii="宋体" w:hAnsi="宋体" w:eastAsia="宋体" w:cs="宋体"/>
          <w:sz w:val="28"/>
          <w:szCs w:val="28"/>
        </w:rPr>
        <w:t>韩爱琴</w:t>
      </w:r>
      <w:r>
        <w:rPr>
          <w:rFonts w:hint="eastAsia" w:ascii="宋体" w:hAnsi="宋体" w:eastAsia="宋体" w:cs="宋体"/>
          <w:sz w:val="28"/>
          <w:szCs w:val="28"/>
          <w:lang w:eastAsia="zh-CN"/>
        </w:rPr>
        <w:t>、</w:t>
      </w:r>
      <w:r>
        <w:rPr>
          <w:rFonts w:hint="eastAsia" w:ascii="宋体" w:hAnsi="宋体" w:eastAsia="宋体" w:cs="宋体"/>
          <w:sz w:val="28"/>
          <w:szCs w:val="28"/>
        </w:rPr>
        <w:t>张凤霞</w:t>
      </w:r>
      <w:r>
        <w:rPr>
          <w:rFonts w:hint="eastAsia" w:ascii="宋体" w:hAnsi="宋体" w:eastAsia="宋体" w:cs="宋体"/>
          <w:sz w:val="28"/>
          <w:szCs w:val="28"/>
          <w:lang w:eastAsia="zh-CN"/>
        </w:rPr>
        <w:t>、</w:t>
      </w:r>
      <w:r>
        <w:rPr>
          <w:rFonts w:hint="eastAsia" w:ascii="宋体" w:hAnsi="宋体" w:eastAsia="宋体" w:cs="宋体"/>
          <w:sz w:val="28"/>
          <w:szCs w:val="28"/>
        </w:rPr>
        <w:t>曹会娥</w:t>
      </w:r>
      <w:r>
        <w:rPr>
          <w:rFonts w:hint="eastAsia" w:ascii="宋体" w:hAnsi="宋体" w:eastAsia="宋体" w:cs="宋体"/>
          <w:sz w:val="28"/>
          <w:szCs w:val="28"/>
          <w:lang w:eastAsia="zh-CN"/>
        </w:rPr>
        <w:t>、梁存汇</w:t>
      </w:r>
    </w:p>
    <w:p>
      <w:pPr>
        <w:spacing w:line="360" w:lineRule="auto"/>
        <w:rPr>
          <w:rFonts w:hint="eastAsia" w:ascii="宋体" w:hAnsi="宋体" w:eastAsia="宋体" w:cs="宋体"/>
          <w:sz w:val="28"/>
          <w:szCs w:val="28"/>
        </w:rPr>
      </w:pPr>
      <w:r>
        <w:rPr>
          <w:rFonts w:hint="eastAsia" w:ascii="宋体" w:hAnsi="宋体" w:eastAsia="宋体" w:cs="宋体"/>
          <w:sz w:val="28"/>
          <w:szCs w:val="28"/>
        </w:rPr>
        <w:t>八、代理服务收费标准及金额</w:t>
      </w:r>
    </w:p>
    <w:p>
      <w:pPr>
        <w:spacing w:line="360" w:lineRule="auto"/>
        <w:rPr>
          <w:rFonts w:hint="default" w:ascii="宋体" w:hAnsi="宋体" w:eastAsia="宋体" w:cs="宋体"/>
          <w:color w:val="auto"/>
          <w:sz w:val="28"/>
          <w:szCs w:val="28"/>
          <w:highlight w:val="none"/>
          <w:lang w:val="en-US" w:eastAsia="zh-CN"/>
        </w:rPr>
      </w:pPr>
      <w:r>
        <w:rPr>
          <w:rFonts w:hint="eastAsia" w:ascii="宋体" w:hAnsi="宋体" w:eastAsia="宋体" w:cs="宋体"/>
          <w:sz w:val="28"/>
          <w:szCs w:val="28"/>
        </w:rPr>
        <w:t>按《深圳市财政委员会关于规范深圳市社会采购代理机构管理有关事项的补</w:t>
      </w:r>
      <w:r>
        <w:rPr>
          <w:rFonts w:hint="eastAsia" w:ascii="宋体" w:hAnsi="宋体" w:eastAsia="宋体" w:cs="宋体"/>
          <w:color w:val="auto"/>
          <w:sz w:val="28"/>
          <w:szCs w:val="28"/>
          <w:highlight w:val="none"/>
        </w:rPr>
        <w:t>充通知》（深财购〔2018〕27号）代理费用参考标准规定的“货物类”计费标准下浮20%计算并缴纳收取</w:t>
      </w:r>
      <w:r>
        <w:rPr>
          <w:rFonts w:hint="eastAsia" w:ascii="宋体" w:hAnsi="宋体" w:eastAsia="宋体" w:cs="宋体"/>
          <w:color w:val="auto"/>
          <w:sz w:val="28"/>
          <w:szCs w:val="28"/>
          <w:highlight w:val="none"/>
          <w:lang w:eastAsia="zh-CN"/>
        </w:rPr>
        <w:t>；人民币</w:t>
      </w:r>
      <w:r>
        <w:rPr>
          <w:rFonts w:hint="eastAsia" w:ascii="宋体" w:hAnsi="宋体" w:eastAsia="宋体" w:cs="宋体"/>
          <w:color w:val="auto"/>
          <w:sz w:val="28"/>
          <w:szCs w:val="28"/>
          <w:highlight w:val="none"/>
          <w:lang w:val="en-US" w:eastAsia="zh-CN"/>
        </w:rPr>
        <w:t>2.4289万元。</w:t>
      </w:r>
    </w:p>
    <w:p>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九、公告期限</w:t>
      </w:r>
    </w:p>
    <w:p>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u w:val="single"/>
          <w:lang w:val="en-US" w:eastAsia="zh-CN"/>
        </w:rPr>
        <w:t>2022</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lang w:val="en-US" w:eastAsia="zh-CN"/>
        </w:rPr>
        <w:t>7</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lang w:val="en-US" w:eastAsia="zh-CN"/>
        </w:rPr>
        <w:t>12</w:t>
      </w:r>
      <w:r>
        <w:rPr>
          <w:rFonts w:hint="eastAsia" w:ascii="宋体" w:hAnsi="宋体" w:eastAsia="宋体" w:cs="宋体"/>
          <w:color w:val="auto"/>
          <w:sz w:val="28"/>
          <w:szCs w:val="28"/>
          <w:highlight w:val="none"/>
        </w:rPr>
        <w:t>日至</w:t>
      </w:r>
      <w:r>
        <w:rPr>
          <w:rFonts w:hint="eastAsia" w:ascii="宋体" w:hAnsi="宋体" w:eastAsia="宋体" w:cs="宋体"/>
          <w:color w:val="auto"/>
          <w:sz w:val="28"/>
          <w:szCs w:val="28"/>
          <w:highlight w:val="none"/>
          <w:u w:val="single"/>
          <w:lang w:val="en-US" w:eastAsia="zh-CN"/>
        </w:rPr>
        <w:t>2022</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lang w:val="en-US" w:eastAsia="zh-CN"/>
        </w:rPr>
        <w:t>7</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lang w:val="en-US" w:eastAsia="zh-CN"/>
        </w:rPr>
        <w:t>14</w:t>
      </w:r>
      <w:bookmarkStart w:id="0" w:name="_GoBack"/>
      <w:bookmarkEnd w:id="0"/>
      <w:r>
        <w:rPr>
          <w:rFonts w:hint="eastAsia" w:ascii="宋体" w:hAnsi="宋体" w:eastAsia="宋体" w:cs="宋体"/>
          <w:color w:val="auto"/>
          <w:sz w:val="28"/>
          <w:szCs w:val="28"/>
          <w:highlight w:val="none"/>
        </w:rPr>
        <w:t>日</w:t>
      </w:r>
    </w:p>
    <w:p>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十、其他补充事宜</w:t>
      </w:r>
    </w:p>
    <w:p>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1.供应商投标（响应）文件：详见附件。</w:t>
      </w:r>
    </w:p>
    <w:p>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2.下载打印电子中标通知书</w:t>
      </w:r>
    </w:p>
    <w:p>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采购人、中标（成交）供应商可在中标（成交）结果公告发布之日起3日后登录交易系统自行下载打印电子中标通知书。</w:t>
      </w:r>
    </w:p>
    <w:p>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3.供应商质疑</w:t>
      </w:r>
    </w:p>
    <w:p>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供应商认为中标或者成交结果使自己的权益受到损害的，应当自本公告发布之日起七个工作日内以书面形式提出质疑。质疑材料现场提交地址：深圳市福田区竹子林中国经贸大厦10A、B采联国际招标采购集团有限公司深圳分公司。质疑咨询电话：0755-8837 7571或7572转23</w:t>
      </w:r>
      <w:r>
        <w:rPr>
          <w:rFonts w:hint="eastAsia" w:ascii="宋体" w:hAnsi="宋体" w:eastAsia="宋体" w:cs="宋体"/>
          <w:color w:val="auto"/>
          <w:sz w:val="28"/>
          <w:szCs w:val="28"/>
          <w:highlight w:val="none"/>
          <w:lang w:val="en-US" w:eastAsia="zh-CN"/>
        </w:rPr>
        <w:t>40</w:t>
      </w:r>
      <w:r>
        <w:rPr>
          <w:rFonts w:hint="eastAsia" w:ascii="宋体" w:hAnsi="宋体" w:eastAsia="宋体" w:cs="宋体"/>
          <w:color w:val="auto"/>
          <w:sz w:val="28"/>
          <w:szCs w:val="28"/>
          <w:highlight w:val="none"/>
        </w:rPr>
        <w:t>。</w:t>
      </w:r>
    </w:p>
    <w:p>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十一、凡对本次公示内容提出询问，请按以下方式联系。</w:t>
      </w:r>
    </w:p>
    <w:p>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1.采购人信息</w:t>
      </w:r>
    </w:p>
    <w:p>
      <w:pPr>
        <w:spacing w:line="360" w:lineRule="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名称：</w:t>
      </w:r>
      <w:r>
        <w:rPr>
          <w:rFonts w:hint="eastAsia" w:ascii="宋体" w:hAnsi="宋体" w:eastAsia="宋体" w:cs="宋体"/>
          <w:color w:val="auto"/>
          <w:sz w:val="28"/>
          <w:szCs w:val="28"/>
          <w:highlight w:val="none"/>
          <w:lang w:eastAsia="zh-CN"/>
        </w:rPr>
        <w:t>清华大学深圳国际研究生院</w:t>
      </w:r>
    </w:p>
    <w:p>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地址：深圳市南山区西丽大学城清华校区信息楼911</w:t>
      </w:r>
    </w:p>
    <w:p>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联系方式：原老师0755-26036102</w:t>
      </w:r>
    </w:p>
    <w:p>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2.采购代理机构信息</w:t>
      </w:r>
    </w:p>
    <w:p>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名 称：采联国际招标采购集团有限公司</w:t>
      </w:r>
    </w:p>
    <w:p>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地 址：深圳市福田区竹子林中国经贸大厦10A、B采联国际招标采购集团有限公司深圳分公司</w:t>
      </w:r>
    </w:p>
    <w:p>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联系方式：0755-8837 7571或7572转23</w:t>
      </w:r>
      <w:r>
        <w:rPr>
          <w:rFonts w:hint="eastAsia" w:ascii="宋体" w:hAnsi="宋体" w:eastAsia="宋体" w:cs="宋体"/>
          <w:color w:val="auto"/>
          <w:sz w:val="28"/>
          <w:szCs w:val="28"/>
          <w:highlight w:val="none"/>
          <w:lang w:val="en-US" w:eastAsia="zh-CN"/>
        </w:rPr>
        <w:t>40</w:t>
      </w:r>
    </w:p>
    <w:p>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3.项目联系方式</w:t>
      </w:r>
    </w:p>
    <w:p>
      <w:pPr>
        <w:spacing w:line="360" w:lineRule="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项目联系人：</w:t>
      </w:r>
      <w:r>
        <w:rPr>
          <w:rFonts w:hint="eastAsia" w:ascii="宋体" w:hAnsi="宋体" w:eastAsia="宋体" w:cs="宋体"/>
          <w:color w:val="auto"/>
          <w:sz w:val="28"/>
          <w:szCs w:val="28"/>
          <w:highlight w:val="none"/>
          <w:u w:val="none"/>
          <w:lang w:eastAsia="zh-CN"/>
        </w:rPr>
        <w:t>刘先生</w:t>
      </w:r>
    </w:p>
    <w:p>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电话：0755-8837 7571或7572转23</w:t>
      </w:r>
      <w:r>
        <w:rPr>
          <w:rFonts w:hint="eastAsia" w:ascii="宋体" w:hAnsi="宋体" w:eastAsia="宋体" w:cs="宋体"/>
          <w:color w:val="auto"/>
          <w:sz w:val="28"/>
          <w:szCs w:val="28"/>
          <w:highlight w:val="none"/>
          <w:lang w:val="en-US" w:eastAsia="zh-CN"/>
        </w:rPr>
        <w:t>40</w:t>
      </w:r>
    </w:p>
    <w:p>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十二、附件</w:t>
      </w:r>
    </w:p>
    <w:p>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1.采购文件。</w:t>
      </w:r>
    </w:p>
    <w:p>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采购文件szczf：-详见后面附件-</w:t>
      </w:r>
    </w:p>
    <w:p>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采购文件PDF：-详见后面附件-</w:t>
      </w:r>
    </w:p>
    <w:p>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采购文件DOC：-详见后面附件-</w:t>
      </w:r>
    </w:p>
    <w:p>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2.中标、成交供应商为中小企业的，应公告其《中小企业声明函》。（详见供应商投标文件）</w:t>
      </w:r>
    </w:p>
    <w:p>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3.中标、成交供应商为残疾人福利性单位的，应公告其《残疾人福利性单位声明函》。（详见供应商投标文件）</w:t>
      </w:r>
    </w:p>
    <w:p>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4.中标、成交供应商为注册地在国家级贫困县域内物业公司的，应公告注册所在县扶贫部门出具的聘用建档立卡贫困人员具体数量的证明。（详见供应商投标文件）</w:t>
      </w:r>
    </w:p>
    <w:p>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5.投标供应商资格响应文件。（详见供应商投标文件）</w:t>
      </w:r>
    </w:p>
    <w:p>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6.投标供应商投标文件。</w:t>
      </w:r>
    </w:p>
    <w:p>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-详见后面附件-</w:t>
      </w:r>
    </w:p>
    <w:p>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7.采购文件约定公开的其它内容。</w:t>
      </w:r>
    </w:p>
    <w:p>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开标一览表：-详见后面附件-</w:t>
      </w:r>
    </w:p>
    <w:p>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资格性审查表：-详见后面附件-</w:t>
      </w:r>
    </w:p>
    <w:p>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符合性审查表：-详见后面附件-</w:t>
      </w:r>
    </w:p>
    <w:p>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供应商价格调整类型报表：-详见后面附件-</w:t>
      </w:r>
    </w:p>
    <w:p>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评分结果表等：-详见后面附件-</w:t>
      </w:r>
    </w:p>
    <w:p>
      <w:pPr>
        <w:spacing w:line="360" w:lineRule="auto"/>
        <w:jc w:val="righ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采联国际招标采购集团有限公司</w:t>
      </w:r>
    </w:p>
    <w:p>
      <w:pPr>
        <w:spacing w:line="360" w:lineRule="auto"/>
        <w:jc w:val="righ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u w:val="single"/>
          <w:lang w:val="en-US" w:eastAsia="zh-CN"/>
        </w:rPr>
        <w:t>2022</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lang w:val="en-US" w:eastAsia="zh-CN"/>
        </w:rPr>
        <w:t>7</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lang w:val="en-US" w:eastAsia="zh-CN"/>
        </w:rPr>
        <w:t>11</w:t>
      </w:r>
      <w:r>
        <w:rPr>
          <w:rFonts w:hint="eastAsia" w:ascii="宋体" w:hAnsi="宋体" w:eastAsia="宋体" w:cs="宋体"/>
          <w:color w:val="auto"/>
          <w:sz w:val="28"/>
          <w:szCs w:val="28"/>
          <w:highlight w:val="none"/>
        </w:rPr>
        <w:t>日</w:t>
      </w: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sectPr>
      <w:pgSz w:w="11906" w:h="16838"/>
      <w:pgMar w:top="1440" w:right="1134"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JmYTNiYTIwMDhiOWY5YTc4ZTgxMzc1NmQ2NGIxYWUifQ=="/>
  </w:docVars>
  <w:rsids>
    <w:rsidRoot w:val="24C60B22"/>
    <w:rsid w:val="00274614"/>
    <w:rsid w:val="003813A1"/>
    <w:rsid w:val="006F3192"/>
    <w:rsid w:val="008736F4"/>
    <w:rsid w:val="00F73C3C"/>
    <w:rsid w:val="154530D7"/>
    <w:rsid w:val="18567BDB"/>
    <w:rsid w:val="24C60B22"/>
    <w:rsid w:val="2E4A188E"/>
    <w:rsid w:val="36913E7E"/>
    <w:rsid w:val="41FD2C96"/>
    <w:rsid w:val="43216C38"/>
    <w:rsid w:val="4D8A332C"/>
    <w:rsid w:val="6280036F"/>
    <w:rsid w:val="66332642"/>
    <w:rsid w:val="6EA964BA"/>
    <w:rsid w:val="7730403D"/>
    <w:rsid w:val="7A5927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annotation text"/>
    <w:basedOn w:val="1"/>
    <w:semiHidden/>
    <w:unhideWhenUsed/>
    <w:qFormat/>
    <w:uiPriority w:val="99"/>
    <w:pPr>
      <w:jc w:val="left"/>
    </w:p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 w:type="character" w:customStyle="1" w:styleId="10">
    <w:name w:val="页眉 字符"/>
    <w:basedOn w:val="8"/>
    <w:link w:val="5"/>
    <w:qFormat/>
    <w:uiPriority w:val="0"/>
    <w:rPr>
      <w:rFonts w:asciiTheme="minorHAnsi" w:hAnsiTheme="minorHAnsi" w:eastAsiaTheme="minorEastAsia" w:cstheme="minorBidi"/>
      <w:kern w:val="2"/>
      <w:sz w:val="18"/>
      <w:szCs w:val="18"/>
    </w:rPr>
  </w:style>
  <w:style w:type="character" w:customStyle="1" w:styleId="11">
    <w:name w:val="页脚 字符"/>
    <w:basedOn w:val="8"/>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1352</Words>
  <Characters>1601</Characters>
  <Lines>9</Lines>
  <Paragraphs>2</Paragraphs>
  <TotalTime>5</TotalTime>
  <ScaleCrop>false</ScaleCrop>
  <LinksUpToDate>false</LinksUpToDate>
  <CharactersWithSpaces>1626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2021-12-15T01:44:00Z</dcterms:created>
  <dc:creator>重新开始</dc:creator>
  <cp:lastModifiedBy>采联-廖工</cp:lastModifiedBy>
  <dcterms:modified xsi:type="dcterms:W3CDTF">2022-07-11T08:56:22Z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F81FE772AE4C4316904386F25B01410E</vt:lpwstr>
  </property>
</Properties>
</file>